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8 do wniosku o zawarcie umowy najmu (kryterium </w:t>
      </w:r>
      <w:r>
        <w:rPr>
          <w:spacing w:val="-4"/>
          <w:sz w:val="20"/>
          <w:szCs w:val="20"/>
        </w:rPr>
        <w:t>2. 7)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Przynajmniej jedna osoba pełnoletnia wchodząca w skład gospodarstwa domowego jest osobą, która na dzień złożenia wniosku nie przekroczyła 40 roku życia,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rPr>
          <w:rStyle w:val="apple-converted-space"/>
          <w:rFonts w:ascii="Calibri" w:hAnsi="Calibri" w:cs="Calibri"/>
          <w:bCs/>
          <w:color w:val="000000"/>
        </w:rPr>
      </w:pPr>
      <w:r>
        <w:rPr>
          <w:rFonts w:cs="Calibri" w:ascii="Calibri" w:hAnsi="Calibri"/>
          <w:bCs/>
          <w:color w:val="000000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127</Words>
  <Characters>1129</Characters>
  <CharactersWithSpaces>1248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2025-09-15T15:53:00Z</dcterms:created>
  <dc:creator>Mariusz Tomasik</dc:creator>
  <dc:description/>
  <dc:language>pl-PL</dc:language>
  <cp:lastModifiedBy/>
  <cp:lastPrinted>2025-10-21T09:57:50Z</cp:lastPrinted>
  <dcterms:modified xsi:type="dcterms:W3CDTF">2025-10-21T09:57:57Z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